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A3A" w:rsidRPr="007C33FE" w:rsidRDefault="00F32A3A" w:rsidP="00F32A3A">
      <w:pPr>
        <w:jc w:val="right"/>
        <w:rPr>
          <w:noProof w:val="0"/>
          <w:sz w:val="22"/>
          <w:szCs w:val="22"/>
          <w:lang w:val="ru-RU"/>
        </w:rPr>
      </w:pPr>
      <w:r w:rsidRPr="007C33FE">
        <w:rPr>
          <w:noProof w:val="0"/>
          <w:lang w:val="ru-RU"/>
        </w:rPr>
        <w:t>Приложение № 1</w:t>
      </w:r>
    </w:p>
    <w:p w:rsidR="00F32A3A" w:rsidRPr="00F32A3A" w:rsidRDefault="00F32A3A" w:rsidP="00F32A3A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к </w:t>
      </w:r>
      <w:r>
        <w:rPr>
          <w:noProof w:val="0"/>
          <w:lang w:val="ru-RU"/>
        </w:rPr>
        <w:t>С</w:t>
      </w:r>
      <w:r w:rsidRPr="007C33FE">
        <w:rPr>
          <w:noProof w:val="0"/>
          <w:lang w:val="ru-RU"/>
        </w:rPr>
        <w:t xml:space="preserve">тандартной документации № </w:t>
      </w:r>
      <w:r w:rsidRPr="00F32A3A">
        <w:rPr>
          <w:noProof w:val="0"/>
          <w:lang w:val="ru-RU"/>
        </w:rPr>
        <w:t>69</w:t>
      </w:r>
    </w:p>
    <w:p w:rsidR="00F32A3A" w:rsidRPr="007C33FE" w:rsidRDefault="00F32A3A" w:rsidP="00F32A3A">
      <w:pPr>
        <w:jc w:val="right"/>
        <w:rPr>
          <w:noProof w:val="0"/>
          <w:lang w:val="ru-RU"/>
        </w:rPr>
      </w:pPr>
      <w:r w:rsidRPr="007C33FE">
        <w:rPr>
          <w:noProof w:val="0"/>
          <w:lang w:val="ru-RU"/>
        </w:rPr>
        <w:t>от «</w:t>
      </w:r>
      <w:r w:rsidRPr="00F32A3A">
        <w:rPr>
          <w:noProof w:val="0"/>
          <w:lang w:val="ru-RU"/>
        </w:rPr>
        <w:t>7</w:t>
      </w:r>
      <w:r w:rsidRPr="007C33FE">
        <w:rPr>
          <w:noProof w:val="0"/>
          <w:lang w:val="ru-RU"/>
        </w:rPr>
        <w:t>»</w:t>
      </w:r>
      <w:bookmarkStart w:id="0" w:name="_GoBack"/>
      <w:bookmarkEnd w:id="0"/>
      <w:r w:rsidRPr="007C33FE">
        <w:rPr>
          <w:noProof w:val="0"/>
          <w:lang w:val="ru-RU"/>
        </w:rPr>
        <w:t xml:space="preserve"> </w:t>
      </w:r>
      <w:r>
        <w:rPr>
          <w:noProof w:val="0"/>
          <w:lang w:val="ru-RU"/>
        </w:rPr>
        <w:t>мая</w:t>
      </w:r>
      <w:r w:rsidRPr="007C33FE">
        <w:rPr>
          <w:noProof w:val="0"/>
          <w:lang w:val="ru-RU"/>
        </w:rPr>
        <w:t xml:space="preserve"> 20</w:t>
      </w:r>
      <w:r>
        <w:rPr>
          <w:noProof w:val="0"/>
          <w:lang w:val="ru-RU"/>
        </w:rPr>
        <w:t>21</w:t>
      </w:r>
      <w:r w:rsidRPr="007C33FE">
        <w:rPr>
          <w:noProof w:val="0"/>
          <w:lang w:val="ru-RU"/>
        </w:rPr>
        <w:t xml:space="preserve"> г.</w:t>
      </w:r>
    </w:p>
    <w:p w:rsidR="00F32A3A" w:rsidRPr="007C33FE" w:rsidRDefault="00F32A3A" w:rsidP="00F32A3A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b w:val="0"/>
          <w:lang w:val="ru-RU" w:eastAsia="zh-CN"/>
        </w:rPr>
      </w:pPr>
    </w:p>
    <w:p w:rsidR="00F32A3A" w:rsidRPr="007C33FE" w:rsidRDefault="00F32A3A" w:rsidP="00F32A3A">
      <w:pPr>
        <w:pStyle w:val="Style3"/>
        <w:tabs>
          <w:tab w:val="left" w:pos="567"/>
        </w:tabs>
        <w:spacing w:before="0" w:beforeAutospacing="0" w:after="0"/>
        <w:ind w:left="0" w:firstLine="0"/>
        <w:jc w:val="center"/>
        <w:rPr>
          <w:rFonts w:eastAsia="PMingLiU"/>
          <w:b w:val="0"/>
          <w:lang w:val="ru-RU" w:eastAsia="zh-CN"/>
        </w:rPr>
      </w:pPr>
    </w:p>
    <w:p w:rsidR="00F32A3A" w:rsidRPr="007C33FE" w:rsidRDefault="00F32A3A" w:rsidP="00F32A3A">
      <w:pPr>
        <w:spacing w:line="276" w:lineRule="auto"/>
        <w:jc w:val="center"/>
        <w:rPr>
          <w:b/>
          <w:noProof w:val="0"/>
          <w:sz w:val="28"/>
          <w:szCs w:val="28"/>
          <w:lang w:val="ru-RU"/>
        </w:rPr>
      </w:pPr>
      <w:r w:rsidRPr="007C33FE">
        <w:rPr>
          <w:b/>
          <w:noProof w:val="0"/>
          <w:sz w:val="28"/>
          <w:szCs w:val="28"/>
          <w:lang w:val="ru-RU"/>
        </w:rPr>
        <w:t>ОБЪЯВЛЕНИЕ О НАМЕРЕНИИ</w:t>
      </w:r>
    </w:p>
    <w:p w:rsidR="00F32A3A" w:rsidRPr="007C33FE" w:rsidRDefault="00F32A3A" w:rsidP="00F32A3A">
      <w:pPr>
        <w:spacing w:after="160" w:line="276" w:lineRule="auto"/>
        <w:jc w:val="center"/>
        <w:rPr>
          <w:noProof w:val="0"/>
          <w:lang w:val="ru-RU"/>
        </w:rPr>
      </w:pPr>
      <w:r w:rsidRPr="007C33FE">
        <w:rPr>
          <w:noProof w:val="0"/>
          <w:lang w:val="ru-RU"/>
        </w:rPr>
        <w:t xml:space="preserve">№ ______от ____________ </w:t>
      </w:r>
      <w:proofErr w:type="gramStart"/>
      <w:r w:rsidRPr="007C33FE">
        <w:rPr>
          <w:noProof w:val="0"/>
          <w:lang w:val="ru-RU"/>
        </w:rPr>
        <w:t>г</w:t>
      </w:r>
      <w:proofErr w:type="gramEnd"/>
      <w:r w:rsidRPr="007C33FE">
        <w:rPr>
          <w:noProof w:val="0"/>
          <w:lang w:val="ru-RU"/>
        </w:rPr>
        <w:t>.</w:t>
      </w:r>
    </w:p>
    <w:p w:rsidR="00F32A3A" w:rsidRPr="007C33FE" w:rsidRDefault="00F32A3A" w:rsidP="00F32A3A">
      <w:pPr>
        <w:numPr>
          <w:ilvl w:val="0"/>
          <w:numId w:val="1"/>
        </w:numPr>
        <w:spacing w:before="240" w:after="160" w:line="276" w:lineRule="auto"/>
        <w:ind w:left="1077"/>
        <w:jc w:val="both"/>
        <w:rPr>
          <w:b/>
          <w:noProof w:val="0"/>
          <w:lang w:val="ru-RU"/>
        </w:rPr>
      </w:pPr>
      <w:r w:rsidRPr="007C33FE">
        <w:rPr>
          <w:b/>
          <w:noProof w:val="0"/>
          <w:lang w:val="ru-RU"/>
        </w:rPr>
        <w:t>Общая информация о закупающем органе: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969"/>
      </w:tblGrid>
      <w:tr w:rsidR="00F32A3A" w:rsidRPr="007C33FE" w:rsidTr="00645701">
        <w:tc>
          <w:tcPr>
            <w:tcW w:w="5949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Наименование закупающего органа 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c>
          <w:tcPr>
            <w:tcW w:w="5949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Идентификационный номер </w:t>
            </w:r>
            <w:r w:rsidRPr="007C33FE">
              <w:rPr>
                <w:color w:val="000000"/>
                <w:sz w:val="22"/>
                <w:szCs w:val="22"/>
                <w:lang w:val="ru-RU" w:eastAsia="ru-RU"/>
              </w:rPr>
              <w:t>(IDNO)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c>
          <w:tcPr>
            <w:tcW w:w="5949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Адрес 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c>
          <w:tcPr>
            <w:tcW w:w="5949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Номер телефона/факса 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c>
          <w:tcPr>
            <w:tcW w:w="5949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Адрес электронной почты закупающего органа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c>
          <w:tcPr>
            <w:tcW w:w="5949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2474B6">
              <w:rPr>
                <w:color w:val="000000"/>
                <w:sz w:val="22"/>
                <w:szCs w:val="22"/>
                <w:lang w:val="ru-RU" w:eastAsia="ru-RU"/>
              </w:rPr>
              <w:t xml:space="preserve">Официальный сайт </w:t>
            </w:r>
            <w:r w:rsidRPr="007C33FE">
              <w:rPr>
                <w:noProof w:val="0"/>
                <w:sz w:val="22"/>
                <w:szCs w:val="22"/>
                <w:lang w:val="ru-RU"/>
              </w:rPr>
              <w:t>закупающего органа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c>
          <w:tcPr>
            <w:tcW w:w="5949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Контактное лицо, номер телефона/электронная почта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c>
          <w:tcPr>
            <w:tcW w:w="5949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sz w:val="22"/>
                <w:szCs w:val="22"/>
                <w:lang w:val="ru-RU"/>
              </w:rPr>
            </w:pPr>
            <w:proofErr w:type="gramStart"/>
            <w:r w:rsidRPr="007C33FE">
              <w:rPr>
                <w:color w:val="000000"/>
                <w:sz w:val="22"/>
                <w:szCs w:val="22"/>
                <w:lang w:val="ru-RU" w:eastAsia="ru-RU"/>
              </w:rPr>
              <w:t xml:space="preserve">Адрес электронной почты или 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о</w:t>
            </w:r>
            <w:r w:rsidRPr="002474B6">
              <w:rPr>
                <w:color w:val="000000"/>
                <w:sz w:val="22"/>
                <w:szCs w:val="22"/>
                <w:lang w:val="ru-RU" w:eastAsia="ru-RU"/>
              </w:rPr>
              <w:t>фициальный сайт</w:t>
            </w:r>
            <w:r w:rsidRPr="007C33FE">
              <w:rPr>
                <w:color w:val="000000"/>
                <w:sz w:val="22"/>
                <w:szCs w:val="22"/>
                <w:lang w:val="ru-RU" w:eastAsia="ru-RU"/>
              </w:rPr>
              <w:t>, по которому можно получить свободный, прямой, полный и бесплатный доступ к документации по присуждению (</w:t>
            </w:r>
            <w:r w:rsidRPr="007C33FE">
              <w:rPr>
                <w:i/>
                <w:color w:val="000000"/>
                <w:sz w:val="20"/>
                <w:szCs w:val="20"/>
                <w:lang w:val="ru-RU" w:eastAsia="ru-RU"/>
              </w:rPr>
              <w:t>Если по причинам, предусмотренным в части (11) статьи 33 Закона № 131/2015 о государственных закупках, не обеспечивается свободный, прямой, полный и бесплатный доступ, – указание на то, как может быть получена документация по присуждению</w:t>
            </w:r>
            <w:r w:rsidRPr="007C33FE">
              <w:rPr>
                <w:color w:val="000000"/>
                <w:sz w:val="22"/>
                <w:szCs w:val="22"/>
                <w:lang w:val="ru-RU" w:eastAsia="ru-RU"/>
              </w:rPr>
              <w:t>)</w:t>
            </w:r>
            <w:proofErr w:type="gramEnd"/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c>
          <w:tcPr>
            <w:tcW w:w="5949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color w:val="000000"/>
                <w:sz w:val="22"/>
                <w:szCs w:val="22"/>
                <w:lang w:val="ru-RU" w:eastAsia="ru-RU"/>
              </w:rPr>
              <w:t>Вид закупающего органа и основной вид деятельности (</w:t>
            </w:r>
            <w:r w:rsidRPr="007C33FE">
              <w:rPr>
                <w:i/>
                <w:color w:val="000000"/>
                <w:sz w:val="20"/>
                <w:szCs w:val="20"/>
                <w:lang w:val="ru-RU" w:eastAsia="ru-RU"/>
              </w:rPr>
              <w:t>Если необходимо, отмечается, что закупающий орган является центральным закупочным органом либо что закупка влечет или может повлечь другую форму общей закупки</w:t>
            </w:r>
            <w:r w:rsidRPr="007C33FE">
              <w:rPr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</w:tbl>
    <w:p w:rsidR="00F32A3A" w:rsidRPr="007C33FE" w:rsidRDefault="00F32A3A" w:rsidP="00F32A3A">
      <w:pPr>
        <w:numPr>
          <w:ilvl w:val="0"/>
          <w:numId w:val="1"/>
        </w:numPr>
        <w:spacing w:before="240" w:after="160" w:line="276" w:lineRule="auto"/>
        <w:contextualSpacing/>
        <w:jc w:val="both"/>
        <w:rPr>
          <w:noProof w:val="0"/>
          <w:lang w:val="ru-RU"/>
        </w:rPr>
      </w:pPr>
      <w:r w:rsidRPr="007C33FE">
        <w:rPr>
          <w:b/>
          <w:noProof w:val="0"/>
          <w:lang w:val="ru-RU"/>
        </w:rPr>
        <w:t>Информация о предмете закупки</w:t>
      </w:r>
      <w:r w:rsidRPr="007C33FE">
        <w:rPr>
          <w:noProof w:val="0"/>
          <w:lang w:val="ru-RU"/>
        </w:rPr>
        <w:t>:</w:t>
      </w:r>
    </w:p>
    <w:tbl>
      <w:tblPr>
        <w:tblW w:w="9923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567"/>
        <w:gridCol w:w="1134"/>
        <w:gridCol w:w="2268"/>
        <w:gridCol w:w="1276"/>
        <w:gridCol w:w="3260"/>
        <w:gridCol w:w="1418"/>
      </w:tblGrid>
      <w:tr w:rsidR="00F32A3A" w:rsidRPr="007C33FE" w:rsidTr="00645701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 xml:space="preserve">№ </w:t>
            </w:r>
            <w:proofErr w:type="gramStart"/>
            <w:r w:rsidRPr="007C33FE">
              <w:rPr>
                <w:noProof w:val="0"/>
                <w:lang w:val="ru-RU"/>
              </w:rPr>
              <w:t>п</w:t>
            </w:r>
            <w:proofErr w:type="gramEnd"/>
            <w:r w:rsidRPr="007C33FE">
              <w:rPr>
                <w:noProof w:val="0"/>
                <w:lang w:val="ru-RU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>Код CPV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</w:p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>Наименование проектных услуг или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>Количество/ Единица измерения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>Описание закупки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>Оценочная стоимость,</w:t>
            </w:r>
            <w:r w:rsidRPr="007C33FE">
              <w:rPr>
                <w:noProof w:val="0"/>
                <w:lang w:val="ru-RU"/>
              </w:rPr>
              <w:br/>
              <w:t xml:space="preserve">без НДС </w:t>
            </w:r>
            <w:r w:rsidRPr="007C33FE">
              <w:rPr>
                <w:i/>
                <w:noProof w:val="0"/>
                <w:sz w:val="20"/>
                <w:szCs w:val="20"/>
                <w:lang w:val="ru-RU"/>
              </w:rPr>
              <w:t>(для каждого лота в отдельности)</w:t>
            </w:r>
          </w:p>
        </w:tc>
      </w:tr>
      <w:tr w:rsidR="00F32A3A" w:rsidRPr="007C33FE" w:rsidTr="00645701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rPr>
                <w:noProof w:val="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>Наименование лот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rPr>
                <w:noProof w:val="0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  <w:r w:rsidRPr="007C33FE">
              <w:rPr>
                <w:noProof w:val="0"/>
                <w:lang w:val="ru-RU"/>
              </w:rPr>
              <w:t>Наименование лот 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3A" w:rsidRPr="007C33FE" w:rsidRDefault="00F32A3A" w:rsidP="00645701">
            <w:pPr>
              <w:spacing w:line="276" w:lineRule="auto"/>
              <w:jc w:val="center"/>
              <w:rPr>
                <w:noProof w:val="0"/>
                <w:lang w:val="ru-RU"/>
              </w:rPr>
            </w:pPr>
          </w:p>
        </w:tc>
      </w:tr>
    </w:tbl>
    <w:p w:rsidR="00F32A3A" w:rsidRPr="007C33FE" w:rsidRDefault="00F32A3A" w:rsidP="00F32A3A">
      <w:pPr>
        <w:numPr>
          <w:ilvl w:val="0"/>
          <w:numId w:val="1"/>
        </w:numPr>
        <w:spacing w:before="240" w:after="160" w:line="276" w:lineRule="auto"/>
        <w:jc w:val="both"/>
        <w:rPr>
          <w:b/>
          <w:noProof w:val="0"/>
          <w:lang w:val="ru-RU"/>
        </w:rPr>
      </w:pPr>
      <w:r w:rsidRPr="007C33FE">
        <w:rPr>
          <w:b/>
          <w:noProof w:val="0"/>
          <w:lang w:val="ru-RU"/>
        </w:rPr>
        <w:t xml:space="preserve"> Условия участия </w:t>
      </w:r>
      <w:r w:rsidRPr="007C33FE">
        <w:rPr>
          <w:i/>
          <w:noProof w:val="0"/>
          <w:lang w:val="ru-RU"/>
        </w:rPr>
        <w:t>(в той мере, в какой они уже известны)</w:t>
      </w:r>
      <w:r w:rsidRPr="007C33FE">
        <w:rPr>
          <w:b/>
          <w:noProof w:val="0"/>
          <w:lang w:val="ru-RU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3969"/>
      </w:tblGrid>
      <w:tr w:rsidR="00F32A3A" w:rsidRPr="007C33FE" w:rsidTr="00645701">
        <w:tc>
          <w:tcPr>
            <w:tcW w:w="5954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color w:val="000000"/>
                <w:sz w:val="22"/>
                <w:szCs w:val="22"/>
                <w:lang w:val="ru-RU" w:eastAsia="ru-RU"/>
              </w:rPr>
              <w:t>Договор о государственных закупках зарезервирован для защищенных мастерских или он может исполняться только в рамках программы защищенной занятости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Нет □</w:t>
            </w:r>
          </w:p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Да □</w:t>
            </w:r>
          </w:p>
        </w:tc>
      </w:tr>
      <w:tr w:rsidR="00F32A3A" w:rsidRPr="007C33FE" w:rsidTr="00645701">
        <w:tc>
          <w:tcPr>
            <w:tcW w:w="5954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7C33FE">
              <w:rPr>
                <w:color w:val="000000"/>
                <w:sz w:val="22"/>
                <w:szCs w:val="22"/>
                <w:lang w:val="ru-RU" w:eastAsia="ru-RU"/>
              </w:rPr>
              <w:t>Оказание услуги зарезервировано за определенной профессией на основании законов или некоторых административных актов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Нет □</w:t>
            </w:r>
          </w:p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Да □</w:t>
            </w:r>
          </w:p>
        </w:tc>
      </w:tr>
      <w:tr w:rsidR="00F32A3A" w:rsidRPr="007C33FE" w:rsidTr="00645701">
        <w:tc>
          <w:tcPr>
            <w:tcW w:w="5954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color w:val="000000"/>
                <w:sz w:val="22"/>
                <w:szCs w:val="22"/>
                <w:lang w:val="ru-RU" w:eastAsia="ru-RU"/>
              </w:rPr>
              <w:t>Краткое описание критериев отбора</w:t>
            </w:r>
          </w:p>
        </w:tc>
        <w:tc>
          <w:tcPr>
            <w:tcW w:w="3969" w:type="dxa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sz w:val="20"/>
                <w:szCs w:val="20"/>
                <w:lang w:val="ru-RU"/>
              </w:rPr>
            </w:pPr>
          </w:p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lang w:val="ru-RU"/>
              </w:rPr>
            </w:pPr>
          </w:p>
        </w:tc>
      </w:tr>
    </w:tbl>
    <w:p w:rsidR="00F32A3A" w:rsidRPr="007C33FE" w:rsidRDefault="00F32A3A" w:rsidP="00F32A3A">
      <w:pPr>
        <w:numPr>
          <w:ilvl w:val="0"/>
          <w:numId w:val="1"/>
        </w:numPr>
        <w:spacing w:before="240" w:after="160" w:line="276" w:lineRule="auto"/>
        <w:jc w:val="both"/>
        <w:rPr>
          <w:b/>
          <w:noProof w:val="0"/>
          <w:lang w:val="ru-RU"/>
        </w:rPr>
      </w:pPr>
      <w:r w:rsidRPr="007C33FE">
        <w:rPr>
          <w:b/>
          <w:noProof w:val="0"/>
          <w:lang w:val="ru-RU"/>
        </w:rPr>
        <w:t>Другая информация: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2"/>
        <w:gridCol w:w="4111"/>
      </w:tblGrid>
      <w:tr w:rsidR="00F32A3A" w:rsidRPr="007C33FE" w:rsidTr="00645701">
        <w:tc>
          <w:tcPr>
            <w:tcW w:w="5812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color w:val="000000"/>
                <w:sz w:val="22"/>
                <w:szCs w:val="22"/>
                <w:lang w:val="ru-RU" w:eastAsia="ru-RU"/>
              </w:rPr>
              <w:t xml:space="preserve">Предполагаемая дата опубликования объявления на </w:t>
            </w:r>
            <w:r w:rsidRPr="007C33FE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участие по договору/договорам, к которым относится объявление о намерении</w:t>
            </w:r>
          </w:p>
        </w:tc>
        <w:tc>
          <w:tcPr>
            <w:tcW w:w="4111" w:type="dxa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lang w:val="ru-RU"/>
              </w:rPr>
            </w:pPr>
          </w:p>
        </w:tc>
      </w:tr>
      <w:tr w:rsidR="00F32A3A" w:rsidRPr="007C33FE" w:rsidTr="00645701">
        <w:tc>
          <w:tcPr>
            <w:tcW w:w="5812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lastRenderedPageBreak/>
              <w:t>Использованные особые методы и инструменты присуждения</w:t>
            </w:r>
          </w:p>
        </w:tc>
        <w:tc>
          <w:tcPr>
            <w:tcW w:w="4111" w:type="dxa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Рамочное соглашение □</w:t>
            </w:r>
          </w:p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Динамичная система закупок □</w:t>
            </w:r>
          </w:p>
        </w:tc>
      </w:tr>
      <w:tr w:rsidR="00F32A3A" w:rsidRPr="007C33FE" w:rsidTr="00645701">
        <w:tc>
          <w:tcPr>
            <w:tcW w:w="5812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 w:rsidRPr="007C33FE">
              <w:rPr>
                <w:color w:val="000000"/>
                <w:sz w:val="22"/>
                <w:szCs w:val="22"/>
                <w:lang w:val="ru-RU" w:eastAsia="ru-RU"/>
              </w:rPr>
              <w:t xml:space="preserve">Договор подпадает под действие Соглашения по правительственным закупкам Всемирной торговой организации </w:t>
            </w:r>
          </w:p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sz w:val="22"/>
                <w:szCs w:val="22"/>
                <w:lang w:val="ru-RU" w:eastAsia="zh-CN"/>
              </w:rPr>
            </w:pPr>
            <w:r w:rsidRPr="007C33FE">
              <w:rPr>
                <w:color w:val="000000"/>
                <w:sz w:val="22"/>
                <w:szCs w:val="22"/>
                <w:lang w:val="ru-RU" w:eastAsia="ru-RU"/>
              </w:rPr>
              <w:t>(</w:t>
            </w:r>
            <w:r w:rsidRPr="007C33FE">
              <w:rPr>
                <w:i/>
                <w:color w:val="000000"/>
                <w:sz w:val="22"/>
                <w:szCs w:val="22"/>
                <w:lang w:val="ru-RU" w:eastAsia="ru-RU"/>
              </w:rPr>
              <w:t>Лишь для объявлений, передаваемых для опубликования в Официальном журнале Европейского Союза, в дальнейшем ОЖЕС</w:t>
            </w:r>
            <w:r w:rsidRPr="007C33FE">
              <w:rPr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4111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Нет □</w:t>
            </w:r>
          </w:p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>Да □</w:t>
            </w:r>
          </w:p>
        </w:tc>
      </w:tr>
      <w:tr w:rsidR="00F32A3A" w:rsidRPr="007C33FE" w:rsidTr="00645701">
        <w:tc>
          <w:tcPr>
            <w:tcW w:w="5812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sz w:val="22"/>
                <w:szCs w:val="22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Национальное агентство по разрешению споров </w:t>
            </w:r>
          </w:p>
        </w:tc>
        <w:tc>
          <w:tcPr>
            <w:tcW w:w="4111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proofErr w:type="spellStart"/>
            <w:r w:rsidRPr="007C33FE">
              <w:rPr>
                <w:noProof w:val="0"/>
                <w:sz w:val="22"/>
                <w:szCs w:val="22"/>
                <w:lang w:val="ru-RU"/>
              </w:rPr>
              <w:t>мун</w:t>
            </w:r>
            <w:proofErr w:type="spellEnd"/>
            <w:r w:rsidRPr="007C33FE">
              <w:rPr>
                <w:noProof w:val="0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7C33FE">
              <w:rPr>
                <w:noProof w:val="0"/>
                <w:sz w:val="22"/>
                <w:szCs w:val="22"/>
                <w:lang w:val="ru-RU"/>
              </w:rPr>
              <w:t>Кишинэу</w:t>
            </w:r>
            <w:proofErr w:type="spellEnd"/>
            <w:r w:rsidRPr="007C33FE">
              <w:rPr>
                <w:noProof w:val="0"/>
                <w:sz w:val="22"/>
                <w:szCs w:val="22"/>
                <w:lang w:val="ru-RU"/>
              </w:rPr>
              <w:t xml:space="preserve">, бул. </w:t>
            </w:r>
            <w:proofErr w:type="spellStart"/>
            <w:r w:rsidRPr="007C33FE">
              <w:rPr>
                <w:noProof w:val="0"/>
                <w:sz w:val="22"/>
                <w:szCs w:val="22"/>
                <w:lang w:val="ru-RU"/>
              </w:rPr>
              <w:t>Штефан</w:t>
            </w:r>
            <w:proofErr w:type="spellEnd"/>
            <w:r w:rsidRPr="007C33FE">
              <w:rPr>
                <w:noProof w:val="0"/>
                <w:sz w:val="22"/>
                <w:szCs w:val="22"/>
                <w:lang w:val="ru-RU"/>
              </w:rPr>
              <w:t xml:space="preserve"> чел Маре ши </w:t>
            </w:r>
            <w:proofErr w:type="spellStart"/>
            <w:r w:rsidRPr="007C33FE">
              <w:rPr>
                <w:noProof w:val="0"/>
                <w:sz w:val="22"/>
                <w:szCs w:val="22"/>
                <w:lang w:val="ru-RU"/>
              </w:rPr>
              <w:t>Сфынт</w:t>
            </w:r>
            <w:proofErr w:type="spellEnd"/>
            <w:r w:rsidRPr="007C33FE">
              <w:rPr>
                <w:noProof w:val="0"/>
                <w:sz w:val="22"/>
                <w:szCs w:val="22"/>
                <w:lang w:val="ru-RU"/>
              </w:rPr>
              <w:t>, 124, MD-2001;</w:t>
            </w:r>
          </w:p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тел./факс: (022) 820 652, 820-651 </w:t>
            </w:r>
          </w:p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color w:val="0563C1"/>
                <w:u w:val="single"/>
                <w:lang w:val="ru-RU"/>
              </w:rPr>
            </w:pPr>
            <w:r w:rsidRPr="007C33FE">
              <w:rPr>
                <w:noProof w:val="0"/>
                <w:sz w:val="22"/>
                <w:szCs w:val="22"/>
                <w:lang w:val="ru-RU"/>
              </w:rPr>
              <w:t xml:space="preserve">эл. почта: </w:t>
            </w:r>
            <w:hyperlink r:id="rId6" w:history="1">
              <w:r w:rsidRPr="007C33FE">
                <w:rPr>
                  <w:noProof w:val="0"/>
                  <w:color w:val="0563C1"/>
                  <w:sz w:val="22"/>
                  <w:szCs w:val="22"/>
                  <w:u w:val="single"/>
                  <w:lang w:val="ru-RU"/>
                </w:rPr>
                <w:t>contestatii@ansc.md</w:t>
              </w:r>
            </w:hyperlink>
          </w:p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  <w:proofErr w:type="spellStart"/>
            <w:r w:rsidRPr="007C33FE">
              <w:rPr>
                <w:noProof w:val="0"/>
                <w:sz w:val="22"/>
                <w:szCs w:val="22"/>
                <w:lang w:val="ru-RU"/>
              </w:rPr>
              <w:t>web</w:t>
            </w:r>
            <w:proofErr w:type="spellEnd"/>
            <w:r w:rsidRPr="007C33FE">
              <w:rPr>
                <w:noProof w:val="0"/>
                <w:sz w:val="22"/>
                <w:szCs w:val="22"/>
                <w:lang w:val="ru-RU"/>
              </w:rPr>
              <w:t xml:space="preserve">: </w:t>
            </w:r>
            <w:r w:rsidRPr="007C33FE">
              <w:rPr>
                <w:noProof w:val="0"/>
                <w:color w:val="0563C1"/>
                <w:sz w:val="22"/>
                <w:szCs w:val="22"/>
                <w:u w:val="single"/>
                <w:lang w:val="ru-RU"/>
              </w:rPr>
              <w:t>www.ansc.md</w:t>
            </w:r>
          </w:p>
        </w:tc>
      </w:tr>
      <w:tr w:rsidR="00F32A3A" w:rsidRPr="007C33FE" w:rsidTr="00645701">
        <w:tc>
          <w:tcPr>
            <w:tcW w:w="5812" w:type="dxa"/>
            <w:shd w:val="clear" w:color="auto" w:fill="F2F2F2"/>
          </w:tcPr>
          <w:p w:rsidR="00F32A3A" w:rsidRPr="007C33FE" w:rsidRDefault="00F32A3A" w:rsidP="00645701">
            <w:pPr>
              <w:spacing w:line="276" w:lineRule="auto"/>
              <w:contextualSpacing/>
              <w:jc w:val="both"/>
              <w:rPr>
                <w:noProof w:val="0"/>
                <w:lang w:val="ru-RU" w:eastAsia="zh-CN"/>
              </w:rPr>
            </w:pPr>
            <w:r w:rsidRPr="007C33FE">
              <w:rPr>
                <w:noProof w:val="0"/>
                <w:sz w:val="22"/>
                <w:szCs w:val="22"/>
                <w:lang w:val="ru-RU" w:eastAsia="zh-CN"/>
              </w:rPr>
              <w:t>Другая значимая информация</w:t>
            </w:r>
          </w:p>
        </w:tc>
        <w:tc>
          <w:tcPr>
            <w:tcW w:w="4111" w:type="dxa"/>
          </w:tcPr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  <w:p w:rsidR="00F32A3A" w:rsidRPr="007C33FE" w:rsidRDefault="00F32A3A" w:rsidP="00645701">
            <w:pPr>
              <w:spacing w:line="276" w:lineRule="auto"/>
              <w:jc w:val="both"/>
              <w:rPr>
                <w:noProof w:val="0"/>
                <w:lang w:val="ru-RU"/>
              </w:rPr>
            </w:pPr>
          </w:p>
        </w:tc>
      </w:tr>
    </w:tbl>
    <w:p w:rsidR="00F32A3A" w:rsidRPr="007C33FE" w:rsidRDefault="00F32A3A" w:rsidP="00F32A3A">
      <w:pPr>
        <w:spacing w:after="160" w:line="276" w:lineRule="auto"/>
        <w:jc w:val="both"/>
        <w:rPr>
          <w:noProof w:val="0"/>
          <w:lang w:val="ru-RU"/>
        </w:rPr>
      </w:pPr>
    </w:p>
    <w:p w:rsidR="00F32A3A" w:rsidRPr="007C33FE" w:rsidRDefault="00F32A3A" w:rsidP="00F32A3A">
      <w:pPr>
        <w:spacing w:before="120" w:after="120" w:line="276" w:lineRule="auto"/>
        <w:ind w:firstLine="567"/>
        <w:rPr>
          <w:b/>
          <w:noProof w:val="0"/>
          <w:lang w:val="ru-RU"/>
        </w:rPr>
      </w:pPr>
      <w:r w:rsidRPr="007C33FE">
        <w:rPr>
          <w:b/>
          <w:noProof w:val="0"/>
          <w:lang w:val="ru-RU"/>
        </w:rPr>
        <w:t xml:space="preserve">Руководитель рабочей группы:  ___________________________                </w:t>
      </w:r>
    </w:p>
    <w:p w:rsidR="00F32A3A" w:rsidRPr="007C33FE" w:rsidRDefault="00F32A3A" w:rsidP="00F32A3A">
      <w:pPr>
        <w:spacing w:after="160" w:line="276" w:lineRule="auto"/>
        <w:jc w:val="both"/>
        <w:rPr>
          <w:noProof w:val="0"/>
          <w:lang w:val="ru-RU"/>
        </w:rPr>
      </w:pPr>
    </w:p>
    <w:p w:rsidR="00F32A3A" w:rsidRPr="007C33FE" w:rsidRDefault="00F32A3A" w:rsidP="00F32A3A">
      <w:pPr>
        <w:spacing w:after="160" w:line="276" w:lineRule="auto"/>
        <w:jc w:val="both"/>
        <w:rPr>
          <w:noProof w:val="0"/>
          <w:lang w:val="ru-RU"/>
        </w:rPr>
      </w:pPr>
    </w:p>
    <w:p w:rsidR="00F32A3A" w:rsidRPr="007C33FE" w:rsidRDefault="00F32A3A" w:rsidP="00F32A3A">
      <w:pPr>
        <w:spacing w:after="160" w:line="276" w:lineRule="auto"/>
        <w:jc w:val="both"/>
        <w:rPr>
          <w:i/>
          <w:noProof w:val="0"/>
          <w:lang w:val="ru-RU"/>
        </w:rPr>
      </w:pPr>
      <w:r w:rsidRPr="007C33FE">
        <w:rPr>
          <w:b/>
          <w:i/>
          <w:noProof w:val="0"/>
          <w:color w:val="FF0000"/>
          <w:lang w:val="ru-RU"/>
        </w:rPr>
        <w:t xml:space="preserve">Примечание: </w:t>
      </w:r>
      <w:r w:rsidRPr="007C33FE">
        <w:rPr>
          <w:i/>
          <w:noProof w:val="0"/>
          <w:lang w:val="ru-RU"/>
        </w:rPr>
        <w:t xml:space="preserve">Объявления о </w:t>
      </w:r>
      <w:proofErr w:type="gramStart"/>
      <w:r w:rsidRPr="007C33FE">
        <w:rPr>
          <w:i/>
          <w:noProof w:val="0"/>
          <w:lang w:val="ru-RU"/>
        </w:rPr>
        <w:t>намерении</w:t>
      </w:r>
      <w:proofErr w:type="gramEnd"/>
      <w:r w:rsidRPr="007C33FE">
        <w:rPr>
          <w:i/>
          <w:noProof w:val="0"/>
          <w:lang w:val="ru-RU"/>
        </w:rPr>
        <w:t xml:space="preserve"> о предполагаемых государственных закупках публикуются в Бюллетене государственных закупок в течение 30 дней со дня утверждения собственного бюджета закупающего органа, отдельно для каждой процедуры закупки (статья 28 Закона № 131/2015 о государственных закупках).</w:t>
      </w:r>
    </w:p>
    <w:p w:rsidR="00E52F2E" w:rsidRPr="00F32A3A" w:rsidRDefault="00E52F2E">
      <w:pPr>
        <w:rPr>
          <w:lang w:val="ru-RU"/>
        </w:rPr>
      </w:pPr>
    </w:p>
    <w:sectPr w:rsidR="00E52F2E" w:rsidRPr="00F32A3A" w:rsidSect="0044327B">
      <w:pgSz w:w="11906" w:h="16838"/>
      <w:pgMar w:top="426" w:right="1133" w:bottom="284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·sІУ©ъЕй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A3A"/>
    <w:rsid w:val="00035534"/>
    <w:rsid w:val="0044327B"/>
    <w:rsid w:val="00E52F2E"/>
    <w:rsid w:val="00F3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A3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2A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Heading3"/>
    <w:link w:val="Style3Char"/>
    <w:rsid w:val="00F32A3A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F32A3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2A3A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A3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2A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">
    <w:name w:val="Style3"/>
    <w:basedOn w:val="Heading3"/>
    <w:link w:val="Style3Char"/>
    <w:rsid w:val="00F32A3A"/>
    <w:pPr>
      <w:keepNext w:val="0"/>
      <w:keepLines w:val="0"/>
      <w:tabs>
        <w:tab w:val="left" w:pos="360"/>
      </w:tabs>
      <w:spacing w:before="100" w:beforeAutospacing="1" w:after="120"/>
      <w:ind w:left="1338" w:hanging="870"/>
    </w:pPr>
    <w:rPr>
      <w:rFonts w:ascii="Times New Roman" w:eastAsia="Times New Roman" w:hAnsi="Times New Roman" w:cs="Times New Roman"/>
      <w:bCs w:val="0"/>
      <w:noProof w:val="0"/>
      <w:color w:val="auto"/>
      <w:szCs w:val="20"/>
      <w:lang w:val="en-US" w:eastAsia="ru-RU"/>
    </w:rPr>
  </w:style>
  <w:style w:type="character" w:customStyle="1" w:styleId="Style3Char">
    <w:name w:val="Style3 Char"/>
    <w:link w:val="Style3"/>
    <w:locked/>
    <w:rsid w:val="00F32A3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2A3A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testatii@ansc.m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TB. Bucur</dc:creator>
  <cp:lastModifiedBy>Tatiana TB. Bucur</cp:lastModifiedBy>
  <cp:revision>1</cp:revision>
  <dcterms:created xsi:type="dcterms:W3CDTF">2021-06-21T10:09:00Z</dcterms:created>
  <dcterms:modified xsi:type="dcterms:W3CDTF">2021-06-21T10:11:00Z</dcterms:modified>
</cp:coreProperties>
</file>